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32FEE0CE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zbędnych i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0F811E1" w14:textId="4647FDAC" w:rsidR="009B7BFF" w:rsidRPr="00985D69" w:rsidRDefault="009B7BFF" w:rsidP="00E24FC0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Stosownie do przepisów rozporządzenia Rady Ministrów z dnia 21 października 2019 r. w sprawie szczegółowego sposobu gospodarowania składnikami rzeczowymi majątku ruchomego Skarbu Państwa (Dz. U. z 2023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2303 z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D7047" w:rsidRPr="00985D69">
        <w:rPr>
          <w:rFonts w:asciiTheme="minorHAnsi" w:hAnsiTheme="minorHAnsi" w:cstheme="minorHAnsi"/>
          <w:sz w:val="22"/>
          <w:szCs w:val="22"/>
        </w:rPr>
        <w:t>p</w:t>
      </w:r>
      <w:r w:rsidR="00AD7F3B" w:rsidRPr="00985D69">
        <w:rPr>
          <w:rFonts w:asciiTheme="minorHAnsi" w:hAnsiTheme="minorHAnsi" w:cstheme="minorHAnsi"/>
          <w:sz w:val="22"/>
          <w:szCs w:val="22"/>
        </w:rPr>
        <w:t>ó</w:t>
      </w:r>
      <w:r w:rsidR="00CD7047" w:rsidRPr="00985D69">
        <w:rPr>
          <w:rFonts w:asciiTheme="minorHAnsi" w:hAnsiTheme="minorHAnsi" w:cstheme="minorHAnsi"/>
          <w:sz w:val="22"/>
          <w:szCs w:val="22"/>
        </w:rPr>
        <w:t>źn</w:t>
      </w:r>
      <w:proofErr w:type="spellEnd"/>
      <w:r w:rsidR="00CD7047" w:rsidRPr="00985D69">
        <w:rPr>
          <w:rFonts w:asciiTheme="minorHAnsi" w:hAnsiTheme="minorHAnsi" w:cstheme="minorHAnsi"/>
          <w:sz w:val="22"/>
          <w:szCs w:val="22"/>
        </w:rPr>
        <w:t xml:space="preserve">. zm.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zbędne i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dzierżawę, nieodpłatnego przekazania lub darowizny – zgodnie z przepisami ww. rozporządzenia Rady Ministrów.</w:t>
      </w:r>
    </w:p>
    <w:p w14:paraId="2A26D32D" w14:textId="40CAD31F" w:rsidR="00CD7047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Szczegółowy wykaz zbędnych i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62BE8AA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zbędnych lub zużytych składników majątku MFiPR  w drodze sprzedaży będzie najwyższa cena zaproponowana za poszczególne składniki majątku. Warunkiem przejęcia składnika rzeczowego majątku przez nabywcę jest uiszczenie ceny nabycia. 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5465CB90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E263C6" w:rsidRPr="00E263C6">
        <w:rPr>
          <w:rFonts w:asciiTheme="minorHAnsi" w:hAnsiTheme="minorHAnsi" w:cstheme="minorHAnsi"/>
          <w:b/>
          <w:bCs/>
          <w:sz w:val="22"/>
          <w:szCs w:val="22"/>
        </w:rPr>
        <w:t>15 października</w:t>
      </w:r>
      <w:r w:rsidR="00E263C6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2024r</w:t>
      </w:r>
      <w:r w:rsidR="00CF398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72805BF2" w14:textId="68A51931" w:rsidR="00AC5AF3" w:rsidRDefault="009B7BFF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Rozpatrywanie wniosków odbywać się będzie </w:t>
      </w:r>
      <w:r w:rsidR="00F01BBB" w:rsidRPr="00985D69">
        <w:rPr>
          <w:rFonts w:asciiTheme="minorHAnsi" w:hAnsiTheme="minorHAnsi" w:cstheme="minorHAnsi"/>
          <w:sz w:val="22"/>
          <w:szCs w:val="22"/>
        </w:rPr>
        <w:t>w kolejnym dniu roboczym po zakończeniu przyjmowani</w:t>
      </w:r>
      <w:r w:rsidR="00E16575">
        <w:rPr>
          <w:rFonts w:asciiTheme="minorHAnsi" w:hAnsiTheme="minorHAnsi" w:cstheme="minorHAnsi"/>
          <w:sz w:val="22"/>
          <w:szCs w:val="22"/>
        </w:rPr>
        <w:t>a</w:t>
      </w:r>
      <w:r w:rsidR="00F01BBB" w:rsidRPr="00985D69">
        <w:rPr>
          <w:rFonts w:asciiTheme="minorHAnsi" w:hAnsiTheme="minorHAnsi" w:cstheme="minorHAnsi"/>
          <w:sz w:val="22"/>
          <w:szCs w:val="22"/>
        </w:rPr>
        <w:t xml:space="preserve"> wniosków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CA5008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E74E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E26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E263C6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E263C6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58D4F71D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>IK 27</w:t>
    </w:r>
    <w:r w:rsidR="00E263C6">
      <w:rPr>
        <w:bCs/>
        <w:u w:val="single"/>
      </w:rPr>
      <w:t>72871</w:t>
    </w:r>
  </w:p>
  <w:p w14:paraId="10BE6F24" w14:textId="7EB1789E" w:rsidR="00B86359" w:rsidRPr="003E74E1" w:rsidRDefault="00E263C6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5B55"/>
    <w:rsid w:val="003462AC"/>
    <w:rsid w:val="00363739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263C6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17</cp:revision>
  <cp:lastPrinted>2024-05-24T11:39:00Z</cp:lastPrinted>
  <dcterms:created xsi:type="dcterms:W3CDTF">2024-05-27T09:59:00Z</dcterms:created>
  <dcterms:modified xsi:type="dcterms:W3CDTF">2024-09-30T14:49:00Z</dcterms:modified>
</cp:coreProperties>
</file>